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8F8B"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The Bureau of Building Codes and Standards was created in 2010 under Title 25 §2372 to provide administrative and technical support to the Technical Building Codes and Standards Board. The BBCS also provides non-binding technical interpretation of the codes for professionals and the public.</w:t>
      </w:r>
    </w:p>
    <w:p w14:paraId="77D67114" w14:textId="77777777" w:rsidR="001B23C7" w:rsidRPr="001B23C7" w:rsidRDefault="001B23C7" w:rsidP="001B23C7">
      <w:pPr>
        <w:shd w:val="clear" w:color="auto" w:fill="FFFFFF"/>
        <w:spacing w:before="100" w:beforeAutospacing="1" w:after="100" w:afterAutospacing="1" w:line="240" w:lineRule="auto"/>
        <w:outlineLvl w:val="1"/>
        <w:rPr>
          <w:rFonts w:ascii="Helvetica" w:eastAsia="Times New Roman" w:hAnsi="Helvetica" w:cs="Helvetica"/>
          <w:b/>
          <w:bCs/>
          <w:color w:val="141414"/>
          <w:sz w:val="36"/>
          <w:szCs w:val="36"/>
        </w:rPr>
      </w:pPr>
      <w:r w:rsidRPr="001B23C7">
        <w:rPr>
          <w:rFonts w:ascii="Helvetica" w:eastAsia="Times New Roman" w:hAnsi="Helvetica" w:cs="Helvetica"/>
          <w:b/>
          <w:bCs/>
          <w:color w:val="141414"/>
          <w:sz w:val="36"/>
          <w:szCs w:val="36"/>
        </w:rPr>
        <w:t>Maine Uniform Building and Energy Code</w:t>
      </w:r>
    </w:p>
    <w:p w14:paraId="78BD0533"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Maine Uniform Building and Energy Code (MUBEC) applies to all towns within the State of Maine. Enforcement of MUBEC is based on population or local action for communities under 4,000 residents as outlined in Chapter 1 (see below "MUBEC Rules and Laws.")</w:t>
      </w:r>
    </w:p>
    <w:p w14:paraId="067D6CE4"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b/>
          <w:bCs/>
          <w:color w:val="141414"/>
          <w:sz w:val="24"/>
          <w:szCs w:val="24"/>
        </w:rPr>
        <w:t>MUBEC is made up of the following codes and standards:</w:t>
      </w:r>
    </w:p>
    <w:p w14:paraId="14C727F2" w14:textId="77777777" w:rsidR="001B23C7" w:rsidRPr="001B23C7" w:rsidRDefault="001B23C7" w:rsidP="001B23C7">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2015 International Residential Code (IRC)</w:t>
      </w:r>
    </w:p>
    <w:p w14:paraId="37541C79" w14:textId="77777777" w:rsidR="001B23C7" w:rsidRPr="001B23C7" w:rsidRDefault="001B23C7" w:rsidP="001B23C7">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2015 International Building Code (IBC)</w:t>
      </w:r>
    </w:p>
    <w:p w14:paraId="30D51238" w14:textId="77777777" w:rsidR="001B23C7" w:rsidRPr="001B23C7" w:rsidRDefault="001B23C7" w:rsidP="001B23C7">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2015 International Existing Building Code (IEBC)</w:t>
      </w:r>
    </w:p>
    <w:p w14:paraId="7928B406" w14:textId="77777777" w:rsidR="001B23C7" w:rsidRPr="001B23C7" w:rsidRDefault="001B23C7" w:rsidP="001B23C7">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2015 International Energy Conservation Code (IECC)</w:t>
      </w:r>
    </w:p>
    <w:p w14:paraId="298F4789" w14:textId="77777777" w:rsidR="001B23C7" w:rsidRPr="001B23C7" w:rsidRDefault="001B23C7" w:rsidP="001B23C7">
      <w:pPr>
        <w:numPr>
          <w:ilvl w:val="0"/>
          <w:numId w:val="1"/>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2015 International Mechanical Code (IMC)</w:t>
      </w:r>
    </w:p>
    <w:p w14:paraId="78B82842"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 xml:space="preserve">The following standards are also adopted as part of the </w:t>
      </w:r>
      <w:proofErr w:type="gramStart"/>
      <w:r w:rsidRPr="001B23C7">
        <w:rPr>
          <w:rFonts w:ascii="Arial" w:eastAsia="Times New Roman" w:hAnsi="Arial" w:cs="Arial"/>
          <w:color w:val="141414"/>
          <w:sz w:val="24"/>
          <w:szCs w:val="24"/>
        </w:rPr>
        <w:t>MUBEC, and</w:t>
      </w:r>
      <w:proofErr w:type="gramEnd"/>
      <w:r w:rsidRPr="001B23C7">
        <w:rPr>
          <w:rFonts w:ascii="Arial" w:eastAsia="Times New Roman" w:hAnsi="Arial" w:cs="Arial"/>
          <w:color w:val="141414"/>
          <w:sz w:val="24"/>
          <w:szCs w:val="24"/>
        </w:rPr>
        <w:t> are mandatory.</w:t>
      </w:r>
    </w:p>
    <w:p w14:paraId="4BED75D8"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b/>
          <w:bCs/>
          <w:color w:val="141414"/>
          <w:sz w:val="24"/>
          <w:szCs w:val="24"/>
        </w:rPr>
        <w:t>The American Society of Heating, Refrigerating and Air-Conditioning Engineers (ASHRAE) Standards:</w:t>
      </w:r>
    </w:p>
    <w:p w14:paraId="6FCEC1B2" w14:textId="77777777" w:rsidR="001B23C7" w:rsidRPr="001B23C7" w:rsidRDefault="001B23C7" w:rsidP="001B23C7">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62.1 - 2016 (Ventilation for Acceptable Indoor Air Quality)</w:t>
      </w:r>
    </w:p>
    <w:p w14:paraId="69E9CEE2" w14:textId="77777777" w:rsidR="001B23C7" w:rsidRPr="001B23C7" w:rsidRDefault="001B23C7" w:rsidP="001B23C7">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62.2 - 2016 (Ventilation and Acceptable Indoor Air Quality in Low-Rise Residential Buildings)</w:t>
      </w:r>
    </w:p>
    <w:p w14:paraId="49B2B2CE" w14:textId="77777777" w:rsidR="001B23C7" w:rsidRPr="001B23C7" w:rsidRDefault="001B23C7" w:rsidP="001B23C7">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90.1 - 2016 (Energy Standard for Buildings except Low-Rise Residential Buildings) editions without addenda.</w:t>
      </w:r>
    </w:p>
    <w:p w14:paraId="67826898" w14:textId="77777777" w:rsidR="001B23C7" w:rsidRPr="001B23C7" w:rsidRDefault="001B23C7" w:rsidP="001B23C7">
      <w:pPr>
        <w:numPr>
          <w:ilvl w:val="0"/>
          <w:numId w:val="2"/>
        </w:num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E-1465-2008, Standard Practice for Radon Control Options for the Design and Construction of New Low-Rise Residential Buildings.</w:t>
      </w:r>
    </w:p>
    <w:p w14:paraId="10F36E4E"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b/>
          <w:bCs/>
          <w:color w:val="141414"/>
          <w:sz w:val="24"/>
          <w:szCs w:val="24"/>
        </w:rPr>
        <w:t>Maine has adopted the national model codes and standards with amendments.  The amendments are listed in Rule Chapters 1-7. Chapters can be found under </w:t>
      </w:r>
      <w:hyperlink r:id="rId5" w:history="1">
        <w:r w:rsidRPr="001B23C7">
          <w:rPr>
            <w:rFonts w:ascii="Arial" w:eastAsia="Times New Roman" w:hAnsi="Arial" w:cs="Arial"/>
            <w:b/>
            <w:bCs/>
            <w:color w:val="2A53A6"/>
            <w:sz w:val="24"/>
            <w:szCs w:val="24"/>
            <w:u w:val="single"/>
          </w:rPr>
          <w:t>MUBEC Rules and Laws</w:t>
        </w:r>
      </w:hyperlink>
      <w:r w:rsidRPr="001B23C7">
        <w:rPr>
          <w:rFonts w:ascii="Arial" w:eastAsia="Times New Roman" w:hAnsi="Arial" w:cs="Arial"/>
          <w:b/>
          <w:bCs/>
          <w:color w:val="141414"/>
          <w:sz w:val="24"/>
          <w:szCs w:val="24"/>
        </w:rPr>
        <w:t>.</w:t>
      </w:r>
    </w:p>
    <w:p w14:paraId="65DB6D11"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r w:rsidRPr="001B23C7">
        <w:rPr>
          <w:rFonts w:ascii="Arial" w:eastAsia="Times New Roman" w:hAnsi="Arial" w:cs="Arial"/>
          <w:color w:val="141414"/>
          <w:sz w:val="24"/>
          <w:szCs w:val="24"/>
        </w:rPr>
        <w:t> </w:t>
      </w:r>
    </w:p>
    <w:p w14:paraId="2DF41100"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hyperlink r:id="rId6" w:history="1">
        <w:r w:rsidRPr="001B23C7">
          <w:rPr>
            <w:rFonts w:ascii="Arial" w:eastAsia="Times New Roman" w:hAnsi="Arial" w:cs="Arial"/>
            <w:color w:val="2A53A6"/>
            <w:sz w:val="24"/>
            <w:szCs w:val="24"/>
            <w:u w:val="single"/>
          </w:rPr>
          <w:t>Fuel Gas Detector Info Sheet (Updated 12/28/2021)</w:t>
        </w:r>
      </w:hyperlink>
    </w:p>
    <w:p w14:paraId="073CEF17" w14:textId="77777777" w:rsidR="001B23C7" w:rsidRPr="001B23C7" w:rsidRDefault="001B23C7" w:rsidP="001B23C7">
      <w:pPr>
        <w:shd w:val="clear" w:color="auto" w:fill="FFFFFF"/>
        <w:spacing w:before="100" w:beforeAutospacing="1" w:after="100" w:afterAutospacing="1" w:line="240" w:lineRule="auto"/>
        <w:rPr>
          <w:rFonts w:ascii="Arial" w:eastAsia="Times New Roman" w:hAnsi="Arial" w:cs="Arial"/>
          <w:color w:val="141414"/>
          <w:sz w:val="24"/>
          <w:szCs w:val="24"/>
        </w:rPr>
      </w:pPr>
      <w:hyperlink r:id="rId7" w:history="1">
        <w:r w:rsidRPr="001B23C7">
          <w:rPr>
            <w:rFonts w:ascii="Arial" w:eastAsia="Times New Roman" w:hAnsi="Arial" w:cs="Arial"/>
            <w:color w:val="2A53A6"/>
            <w:sz w:val="24"/>
            <w:szCs w:val="24"/>
            <w:u w:val="single"/>
          </w:rPr>
          <w:t>Abandoned Structures Notice (12/21/2021)</w:t>
        </w:r>
      </w:hyperlink>
    </w:p>
    <w:p w14:paraId="62952E09" w14:textId="77777777" w:rsidR="00402EFB" w:rsidRDefault="00402EFB"/>
    <w:sectPr w:rsidR="00402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55147"/>
    <w:multiLevelType w:val="multilevel"/>
    <w:tmpl w:val="C6E4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EC7EC0"/>
    <w:multiLevelType w:val="multilevel"/>
    <w:tmpl w:val="9D22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2475778">
    <w:abstractNumId w:val="1"/>
  </w:num>
  <w:num w:numId="2" w16cid:durableId="1231769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C7"/>
    <w:rsid w:val="001B23C7"/>
    <w:rsid w:val="00402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18EFA"/>
  <w15:chartTrackingRefBased/>
  <w15:docId w15:val="{1A9A9174-A108-42BE-8AE3-A1BC23DF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0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ine.gov/dps/fmo/sites/maine.gov.dps.fmo/files/inline-files/AbandonedBuildingsNotice1217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ine.gov/dps/fmo/sites/maine.gov.dps.fmo/files/inline-files/Gasdetection%20%28003%29.pdf" TargetMode="External"/><Relationship Id="rId5" Type="http://schemas.openxmlformats.org/officeDocument/2006/relationships/hyperlink" Target="https://www.maine.gov/dps/fmo/building-codes/mubec-rul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Day</dc:creator>
  <cp:keywords/>
  <dc:description/>
  <cp:lastModifiedBy>Brenda Day</cp:lastModifiedBy>
  <cp:revision>1</cp:revision>
  <dcterms:created xsi:type="dcterms:W3CDTF">2022-10-18T13:09:00Z</dcterms:created>
  <dcterms:modified xsi:type="dcterms:W3CDTF">2022-10-18T13:09:00Z</dcterms:modified>
</cp:coreProperties>
</file>